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006EBD"/>
          <w:sz w:val="28"/>
          <w:szCs w:val="28"/>
          <w:highlight w:val="none"/>
          <w:lang w:val="en-US" w:eastAsia="zh-CN"/>
        </w:rPr>
      </w:pPr>
      <w:r>
        <w:rPr>
          <w:color w:val="006EBD"/>
        </w:rPr>
        <w:drawing>
          <wp:anchor distT="0" distB="0" distL="114300" distR="114300" simplePos="0" relativeHeight="251664384" behindDoc="0" locked="0" layoutInCell="1" allowOverlap="1">
            <wp:simplePos x="0" y="0"/>
            <wp:positionH relativeFrom="column">
              <wp:posOffset>-266700</wp:posOffset>
            </wp:positionH>
            <wp:positionV relativeFrom="paragraph">
              <wp:posOffset>-244475</wp:posOffset>
            </wp:positionV>
            <wp:extent cx="2482850" cy="267335"/>
            <wp:effectExtent l="0" t="0" r="12700" b="18415"/>
            <wp:wrapSquare wrapText="bothSides"/>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4"/>
                    <a:stretch>
                      <a:fillRect/>
                    </a:stretch>
                  </pic:blipFill>
                  <pic:spPr>
                    <a:xfrm>
                      <a:off x="0" y="0"/>
                      <a:ext cx="2482850" cy="267335"/>
                    </a:xfrm>
                    <a:prstGeom prst="rect">
                      <a:avLst/>
                    </a:prstGeom>
                    <a:noFill/>
                    <a:ln w="9525">
                      <a:noFill/>
                    </a:ln>
                  </pic:spPr>
                </pic:pic>
              </a:graphicData>
            </a:graphic>
          </wp:anchor>
        </w:drawing>
      </w:r>
      <w:r>
        <w:rPr>
          <w:color w:val="006EBD"/>
        </w:rPr>
        <w:drawing>
          <wp:anchor distT="0" distB="0" distL="114300" distR="114300" simplePos="0" relativeHeight="251663360" behindDoc="0" locked="0" layoutInCell="1" allowOverlap="1">
            <wp:simplePos x="0" y="0"/>
            <wp:positionH relativeFrom="column">
              <wp:posOffset>-257175</wp:posOffset>
            </wp:positionH>
            <wp:positionV relativeFrom="paragraph">
              <wp:posOffset>63500</wp:posOffset>
            </wp:positionV>
            <wp:extent cx="7059295" cy="170180"/>
            <wp:effectExtent l="0" t="0" r="8255" b="1270"/>
            <wp:wrapTopAndBottom/>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7059295" cy="170180"/>
                    </a:xfrm>
                    <a:prstGeom prst="rect">
                      <a:avLst/>
                    </a:prstGeom>
                    <a:noFill/>
                    <a:ln w="9525">
                      <a:noFill/>
                    </a:ln>
                  </pic:spPr>
                </pic:pic>
              </a:graphicData>
            </a:graphic>
          </wp:anchor>
        </w:drawing>
      </w:r>
      <w:r>
        <w:rPr>
          <w:rFonts w:hint="eastAsia"/>
          <w:b/>
          <w:bCs/>
          <w:color w:val="006EBD"/>
          <w:sz w:val="28"/>
          <w:szCs w:val="36"/>
          <w:highlight w:val="none"/>
          <w:lang w:val="en-US" w:eastAsia="zh-CN"/>
        </w:rPr>
        <w:t>客户业务受理单</w:t>
      </w:r>
    </w:p>
    <w:tbl>
      <w:tblPr>
        <w:tblStyle w:val="3"/>
        <w:tblW w:w="10997"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0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750" w:type="dxa"/>
            <w:vAlign w:val="center"/>
          </w:tcPr>
          <w:p>
            <w:pPr>
              <w:spacing w:line="360" w:lineRule="auto"/>
              <w:jc w:val="center"/>
              <w:rPr>
                <w:rFonts w:hint="eastAsia" w:ascii="宋体" w:hAnsi="宋体"/>
                <w:b/>
                <w:bCs/>
                <w:szCs w:val="21"/>
                <w:vertAlign w:val="baseline"/>
                <w:lang w:val="en-US" w:eastAsia="zh-CN"/>
              </w:rPr>
            </w:pPr>
            <w:r>
              <w:rPr>
                <w:rFonts w:hint="eastAsia" w:ascii="宋体" w:hAnsi="宋体"/>
                <w:b/>
                <w:bCs/>
                <w:szCs w:val="21"/>
                <w:vertAlign w:val="baseline"/>
                <w:lang w:val="en-US" w:eastAsia="zh-CN"/>
              </w:rPr>
              <w:t>用户</w:t>
            </w:r>
          </w:p>
          <w:p>
            <w:pPr>
              <w:spacing w:line="360" w:lineRule="auto"/>
              <w:jc w:val="center"/>
              <w:rPr>
                <w:rFonts w:hint="eastAsia" w:ascii="宋体" w:hAnsi="宋体"/>
                <w:b/>
                <w:bCs/>
                <w:szCs w:val="21"/>
                <w:vertAlign w:val="baseline"/>
                <w:lang w:val="en-US" w:eastAsia="zh-CN"/>
              </w:rPr>
            </w:pPr>
            <w:r>
              <w:rPr>
                <w:rFonts w:hint="eastAsia" w:ascii="宋体" w:hAnsi="宋体"/>
                <w:b/>
                <w:bCs/>
                <w:szCs w:val="21"/>
                <w:vertAlign w:val="baseline"/>
                <w:lang w:val="en-US" w:eastAsia="zh-CN"/>
              </w:rPr>
              <w:t>基本</w:t>
            </w:r>
          </w:p>
          <w:p>
            <w:pPr>
              <w:spacing w:line="360" w:lineRule="auto"/>
              <w:jc w:val="center"/>
              <w:rPr>
                <w:rFonts w:hint="eastAsia" w:ascii="宋体" w:hAnsi="宋体"/>
                <w:b/>
                <w:bCs/>
                <w:szCs w:val="21"/>
                <w:vertAlign w:val="baseline"/>
                <w:lang w:val="en-US" w:eastAsia="zh-CN"/>
              </w:rPr>
            </w:pPr>
            <w:r>
              <w:rPr>
                <w:rFonts w:hint="eastAsia" w:ascii="宋体" w:hAnsi="宋体"/>
                <w:b/>
                <w:bCs/>
                <w:szCs w:val="21"/>
                <w:vertAlign w:val="baseline"/>
                <w:lang w:val="en-US" w:eastAsia="zh-CN"/>
              </w:rPr>
              <w:t>资料</w:t>
            </w:r>
          </w:p>
        </w:tc>
        <w:tc>
          <w:tcPr>
            <w:tcW w:w="10247" w:type="dxa"/>
          </w:tcPr>
          <w:p>
            <w:pPr>
              <w:spacing w:line="360" w:lineRule="auto"/>
              <w:rPr>
                <w:rFonts w:hint="eastAsia" w:ascii="宋体" w:hAnsi="宋体"/>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7" w:hRule="atLeast"/>
        </w:trPr>
        <w:tc>
          <w:tcPr>
            <w:tcW w:w="750" w:type="dxa"/>
            <w:vAlign w:val="center"/>
          </w:tcPr>
          <w:p>
            <w:pPr>
              <w:spacing w:line="360" w:lineRule="auto"/>
              <w:jc w:val="center"/>
              <w:rPr>
                <w:rFonts w:hint="eastAsia" w:ascii="宋体" w:hAnsi="宋体"/>
                <w:b/>
                <w:bCs/>
                <w:szCs w:val="21"/>
                <w:vertAlign w:val="baseline"/>
                <w:lang w:val="en-US" w:eastAsia="zh-CN"/>
              </w:rPr>
            </w:pPr>
            <w:r>
              <w:rPr>
                <w:rFonts w:hint="eastAsia" w:ascii="宋体" w:hAnsi="宋体"/>
                <w:b/>
                <w:bCs/>
                <w:szCs w:val="21"/>
                <w:vertAlign w:val="baseline"/>
                <w:lang w:val="en-US" w:eastAsia="zh-CN"/>
              </w:rPr>
              <w:t>业</w:t>
            </w:r>
          </w:p>
          <w:p>
            <w:pPr>
              <w:spacing w:line="360" w:lineRule="auto"/>
              <w:jc w:val="center"/>
              <w:rPr>
                <w:rFonts w:hint="eastAsia" w:ascii="宋体" w:hAnsi="宋体"/>
                <w:b/>
                <w:bCs/>
                <w:szCs w:val="21"/>
                <w:vertAlign w:val="baseline"/>
                <w:lang w:val="en-US" w:eastAsia="zh-CN"/>
              </w:rPr>
            </w:pPr>
          </w:p>
          <w:p>
            <w:pPr>
              <w:spacing w:line="360" w:lineRule="auto"/>
              <w:jc w:val="center"/>
              <w:rPr>
                <w:rFonts w:hint="eastAsia" w:ascii="宋体" w:hAnsi="宋体"/>
                <w:b/>
                <w:bCs/>
                <w:szCs w:val="21"/>
                <w:vertAlign w:val="baseline"/>
                <w:lang w:val="en-US" w:eastAsia="zh-CN"/>
              </w:rPr>
            </w:pPr>
            <w:r>
              <w:rPr>
                <w:rFonts w:hint="eastAsia" w:ascii="宋体" w:hAnsi="宋体"/>
                <w:b/>
                <w:bCs/>
                <w:szCs w:val="21"/>
                <w:vertAlign w:val="baseline"/>
                <w:lang w:val="en-US" w:eastAsia="zh-CN"/>
              </w:rPr>
              <w:t>务</w:t>
            </w:r>
          </w:p>
          <w:p>
            <w:pPr>
              <w:spacing w:line="360" w:lineRule="auto"/>
              <w:jc w:val="center"/>
              <w:rPr>
                <w:rFonts w:hint="eastAsia" w:ascii="宋体" w:hAnsi="宋体"/>
                <w:b/>
                <w:bCs/>
                <w:szCs w:val="21"/>
                <w:vertAlign w:val="baseline"/>
                <w:lang w:val="en-US" w:eastAsia="zh-CN"/>
              </w:rPr>
            </w:pPr>
          </w:p>
          <w:p>
            <w:pPr>
              <w:spacing w:line="360" w:lineRule="auto"/>
              <w:jc w:val="center"/>
              <w:rPr>
                <w:rFonts w:hint="eastAsia" w:ascii="宋体" w:hAnsi="宋体"/>
                <w:b/>
                <w:bCs/>
                <w:szCs w:val="21"/>
                <w:vertAlign w:val="baseline"/>
                <w:lang w:val="en-US" w:eastAsia="zh-CN"/>
              </w:rPr>
            </w:pPr>
            <w:r>
              <w:rPr>
                <w:rFonts w:hint="eastAsia" w:ascii="宋体" w:hAnsi="宋体"/>
                <w:b/>
                <w:bCs/>
                <w:szCs w:val="21"/>
                <w:vertAlign w:val="baseline"/>
                <w:lang w:val="en-US" w:eastAsia="zh-CN"/>
              </w:rPr>
              <w:t>登</w:t>
            </w:r>
          </w:p>
          <w:p>
            <w:pPr>
              <w:spacing w:line="360" w:lineRule="auto"/>
              <w:jc w:val="center"/>
              <w:rPr>
                <w:rFonts w:hint="eastAsia" w:ascii="宋体" w:hAnsi="宋体"/>
                <w:b/>
                <w:bCs/>
                <w:szCs w:val="21"/>
                <w:vertAlign w:val="baseline"/>
                <w:lang w:val="en-US" w:eastAsia="zh-CN"/>
              </w:rPr>
            </w:pPr>
          </w:p>
          <w:p>
            <w:pPr>
              <w:spacing w:line="360" w:lineRule="auto"/>
              <w:jc w:val="center"/>
              <w:rPr>
                <w:rFonts w:hint="eastAsia" w:ascii="宋体" w:hAnsi="宋体"/>
                <w:b/>
                <w:bCs/>
                <w:szCs w:val="21"/>
                <w:vertAlign w:val="baseline"/>
                <w:lang w:val="en-US" w:eastAsia="zh-CN"/>
              </w:rPr>
            </w:pPr>
            <w:r>
              <w:rPr>
                <w:rFonts w:hint="eastAsia" w:ascii="宋体" w:hAnsi="宋体"/>
                <w:b/>
                <w:bCs/>
                <w:szCs w:val="21"/>
                <w:vertAlign w:val="baseline"/>
                <w:lang w:val="en-US" w:eastAsia="zh-CN"/>
              </w:rPr>
              <w:t>记</w:t>
            </w:r>
          </w:p>
        </w:tc>
        <w:tc>
          <w:tcPr>
            <w:tcW w:w="10247" w:type="dxa"/>
          </w:tcPr>
          <w:p>
            <w:pPr>
              <w:spacing w:beforeLines="0" w:afterLines="0"/>
              <w:jc w:val="left"/>
              <w:rPr>
                <w:rFonts w:hint="eastAsia" w:ascii="宋体" w:hAnsi="宋体"/>
                <w:szCs w:val="21"/>
                <w:vertAlign w:val="baseline"/>
                <w:lang w:val="en-US" w:eastAsia="zh-CN"/>
              </w:rPr>
            </w:pPr>
            <w:r>
              <w:rPr>
                <w:rFonts w:hint="eastAsia" w:ascii="宋体" w:hAnsi="宋体"/>
                <w:szCs w:val="21"/>
                <w:vertAlign w:val="baseline"/>
                <w:lang w:val="en-US" w:eastAsia="zh-CN"/>
              </w:rPr>
              <w:drawing>
                <wp:anchor distT="0" distB="0" distL="114300" distR="114300" simplePos="0" relativeHeight="251660288" behindDoc="0" locked="0" layoutInCell="1" allowOverlap="1">
                  <wp:simplePos x="0" y="0"/>
                  <wp:positionH relativeFrom="column">
                    <wp:posOffset>5428615</wp:posOffset>
                  </wp:positionH>
                  <wp:positionV relativeFrom="paragraph">
                    <wp:posOffset>4337685</wp:posOffset>
                  </wp:positionV>
                  <wp:extent cx="994410" cy="994410"/>
                  <wp:effectExtent l="0" t="0" r="15240" b="15240"/>
                  <wp:wrapSquare wrapText="bothSides"/>
                  <wp:docPr id="3" name="图片 3" descr="{53884FAC-EE92-48A3-88CF-BF28AF85D8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3884FAC-EE92-48A3-88CF-BF28AF85D80E}"/>
                          <pic:cNvPicPr>
                            <a:picLocks noChangeAspect="1"/>
                          </pic:cNvPicPr>
                        </pic:nvPicPr>
                        <pic:blipFill>
                          <a:blip r:embed="rId6"/>
                          <a:stretch>
                            <a:fillRect/>
                          </a:stretch>
                        </pic:blipFill>
                        <pic:spPr>
                          <a:xfrm>
                            <a:off x="0" y="0"/>
                            <a:ext cx="994410" cy="99441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750" w:type="dxa"/>
            <w:vAlign w:val="center"/>
          </w:tcPr>
          <w:p>
            <w:pPr>
              <w:spacing w:line="360" w:lineRule="auto"/>
              <w:jc w:val="center"/>
              <w:rPr>
                <w:rFonts w:hint="eastAsia" w:ascii="宋体" w:hAnsi="宋体"/>
                <w:b/>
                <w:bCs/>
                <w:sz w:val="18"/>
                <w:szCs w:val="18"/>
                <w:vertAlign w:val="baseline"/>
                <w:lang w:val="en-US" w:eastAsia="zh-CN"/>
              </w:rPr>
            </w:pPr>
            <w:r>
              <w:rPr>
                <w:rFonts w:hint="eastAsia" w:ascii="宋体" w:hAnsi="宋体"/>
                <w:b/>
                <w:bCs/>
                <w:sz w:val="18"/>
                <w:szCs w:val="18"/>
                <w:vertAlign w:val="baseline"/>
                <w:lang w:val="en-US" w:eastAsia="zh-CN"/>
              </w:rPr>
              <w:t>客</w:t>
            </w:r>
          </w:p>
          <w:p>
            <w:pPr>
              <w:spacing w:line="360" w:lineRule="auto"/>
              <w:jc w:val="center"/>
              <w:rPr>
                <w:rFonts w:hint="eastAsia" w:ascii="宋体" w:hAnsi="宋体"/>
                <w:b/>
                <w:bCs/>
                <w:sz w:val="18"/>
                <w:szCs w:val="18"/>
                <w:vertAlign w:val="baseline"/>
                <w:lang w:val="en-US" w:eastAsia="zh-CN"/>
              </w:rPr>
            </w:pPr>
            <w:r>
              <w:rPr>
                <w:rFonts w:hint="eastAsia" w:ascii="宋体" w:hAnsi="宋体"/>
                <w:b/>
                <w:bCs/>
                <w:sz w:val="18"/>
                <w:szCs w:val="18"/>
                <w:vertAlign w:val="baseline"/>
                <w:lang w:val="en-US" w:eastAsia="zh-CN"/>
              </w:rPr>
              <w:t>户</w:t>
            </w:r>
          </w:p>
          <w:p>
            <w:pPr>
              <w:spacing w:line="240" w:lineRule="auto"/>
              <w:jc w:val="center"/>
              <w:rPr>
                <w:rFonts w:hint="eastAsia" w:ascii="宋体" w:hAnsi="宋体"/>
                <w:b/>
                <w:bCs/>
                <w:sz w:val="18"/>
                <w:szCs w:val="18"/>
                <w:vertAlign w:val="baseline"/>
                <w:lang w:val="en-US" w:eastAsia="zh-CN"/>
              </w:rPr>
            </w:pPr>
            <w:r>
              <w:rPr>
                <w:rFonts w:hint="eastAsia" w:ascii="宋体" w:hAnsi="宋体"/>
                <w:b/>
                <w:bCs/>
                <w:sz w:val="18"/>
                <w:szCs w:val="18"/>
                <w:vertAlign w:val="baseline"/>
                <w:lang w:val="en-US" w:eastAsia="zh-CN"/>
              </w:rPr>
              <w:t>声</w:t>
            </w:r>
          </w:p>
          <w:p>
            <w:pPr>
              <w:spacing w:line="360" w:lineRule="auto"/>
              <w:jc w:val="center"/>
              <w:rPr>
                <w:rFonts w:hint="eastAsia" w:ascii="宋体" w:hAnsi="宋体"/>
                <w:b/>
                <w:bCs/>
                <w:sz w:val="18"/>
                <w:szCs w:val="18"/>
                <w:vertAlign w:val="baseline"/>
                <w:lang w:val="en-US" w:eastAsia="zh-CN"/>
              </w:rPr>
            </w:pPr>
            <w:r>
              <w:rPr>
                <w:rFonts w:hint="eastAsia" w:ascii="宋体" w:hAnsi="宋体"/>
                <w:b/>
                <w:bCs/>
                <w:sz w:val="18"/>
                <w:szCs w:val="18"/>
                <w:vertAlign w:val="baseline"/>
                <w:lang w:val="en-US" w:eastAsia="zh-CN"/>
              </w:rPr>
              <w:t>明</w:t>
            </w:r>
          </w:p>
        </w:tc>
        <w:tc>
          <w:tcPr>
            <w:tcW w:w="10247" w:type="dxa"/>
            <w:vAlign w:val="center"/>
          </w:tcPr>
          <w:p>
            <w:pPr>
              <w:numPr>
                <w:ilvl w:val="0"/>
                <w:numId w:val="1"/>
              </w:numPr>
              <w:spacing w:line="240" w:lineRule="auto"/>
              <w:jc w:val="both"/>
              <w:rPr>
                <w:rFonts w:hint="eastAsia" w:ascii="宋体" w:hAnsi="宋体"/>
                <w:b/>
                <w:bCs/>
                <w:sz w:val="18"/>
                <w:szCs w:val="18"/>
                <w:vertAlign w:val="baseline"/>
                <w:lang w:val="en-US" w:eastAsia="zh-CN"/>
              </w:rPr>
            </w:pPr>
            <w:r>
              <w:rPr>
                <w:rFonts w:hint="eastAsia" w:ascii="宋体" w:hAnsi="宋体"/>
                <w:b/>
                <w:bCs/>
                <w:sz w:val="18"/>
                <w:szCs w:val="18"/>
                <w:vertAlign w:val="baseline"/>
                <w:lang w:val="en-US" w:eastAsia="zh-CN"/>
              </w:rPr>
              <w:t>本人保证所提供的用户资料、身份证明资料是合法有效的。</w:t>
            </w:r>
          </w:p>
          <w:p>
            <w:pPr>
              <w:numPr>
                <w:ilvl w:val="0"/>
                <w:numId w:val="1"/>
              </w:numPr>
              <w:spacing w:line="240" w:lineRule="auto"/>
              <w:jc w:val="both"/>
              <w:rPr>
                <w:rFonts w:hint="eastAsia" w:ascii="宋体" w:hAnsi="宋体"/>
                <w:b/>
                <w:bCs/>
                <w:sz w:val="18"/>
                <w:szCs w:val="18"/>
                <w:vertAlign w:val="baseline"/>
                <w:lang w:val="en-US" w:eastAsia="zh-CN"/>
              </w:rPr>
            </w:pPr>
            <w:r>
              <w:rPr>
                <w:rFonts w:hint="eastAsia" w:ascii="宋体" w:hAnsi="宋体"/>
                <w:b/>
                <w:bCs/>
                <w:sz w:val="18"/>
                <w:szCs w:val="18"/>
                <w:vertAlign w:val="baseline"/>
                <w:lang w:val="en-US" w:eastAsia="zh-CN"/>
              </w:rPr>
              <w:t>本次所办理的用水业务，不涉及任何法律纠纷或争议，若日后因该业务而产生的任何法律纠纷或争议，供水部门有权取消此次业务受理，且本人愿意承担由此产生的一切责任及供水部门的损失。</w:t>
            </w:r>
          </w:p>
          <w:p>
            <w:pPr>
              <w:numPr>
                <w:ilvl w:val="0"/>
                <w:numId w:val="1"/>
              </w:numPr>
              <w:spacing w:line="240" w:lineRule="auto"/>
              <w:jc w:val="both"/>
              <w:rPr>
                <w:rFonts w:hint="eastAsia" w:ascii="宋体" w:hAnsi="宋体"/>
                <w:sz w:val="18"/>
                <w:szCs w:val="18"/>
                <w:vertAlign w:val="baseline"/>
                <w:lang w:val="en-US" w:eastAsia="zh-CN"/>
              </w:rPr>
            </w:pPr>
            <w:r>
              <w:rPr>
                <w:rFonts w:hint="eastAsia" w:ascii="宋体" w:hAnsi="宋体"/>
                <w:b/>
                <w:bCs/>
                <w:sz w:val="18"/>
                <w:szCs w:val="18"/>
                <w:vertAlign w:val="baseline"/>
                <w:lang w:val="en-US" w:eastAsia="zh-CN"/>
              </w:rPr>
              <w:t>本人已详细阅读及充分理解《佛山市城市供用水合同》所有条款，并与供水人就签订《佛山市城市供用水合同》达成一致意见。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10997" w:type="dxa"/>
            <w:gridSpan w:val="2"/>
          </w:tcPr>
          <w:p>
            <w:pPr>
              <w:spacing w:line="480" w:lineRule="auto"/>
              <w:rPr>
                <w:rFonts w:hint="eastAsia" w:ascii="宋体" w:hAnsi="宋体"/>
                <w:b/>
                <w:bCs/>
                <w:szCs w:val="21"/>
                <w:vertAlign w:val="baseline"/>
                <w:lang w:val="en-US" w:eastAsia="zh-CN"/>
              </w:rPr>
            </w:pPr>
            <w:r>
              <w:rPr>
                <w:rFonts w:hint="eastAsia" w:ascii="宋体" w:hAnsi="宋体"/>
                <w:b/>
                <w:bCs/>
                <w:szCs w:val="21"/>
                <w:vertAlign w:val="baseline"/>
                <w:lang w:val="en-US" w:eastAsia="zh-CN"/>
              </w:rPr>
              <w:t>用户或代办人：（签章）                                    供水人：（签章）</w:t>
            </w:r>
          </w:p>
          <w:p>
            <w:pPr>
              <w:spacing w:line="480" w:lineRule="auto"/>
              <w:rPr>
                <w:rFonts w:hint="eastAsia" w:ascii="宋体" w:hAnsi="宋体"/>
                <w:b/>
                <w:bCs/>
                <w:szCs w:val="21"/>
                <w:vertAlign w:val="baseline"/>
                <w:lang w:val="en-US" w:eastAsia="zh-CN"/>
              </w:rPr>
            </w:pPr>
            <w:r>
              <w:rPr>
                <w:rFonts w:hint="eastAsia" w:ascii="宋体" w:hAnsi="宋体"/>
                <w:b/>
                <w:bCs/>
                <w:szCs w:val="21"/>
                <w:vertAlign w:val="baseline"/>
                <w:lang w:val="en-US" w:eastAsia="zh-CN"/>
              </w:rPr>
              <w:t xml:space="preserve">联系电话：                                      </w:t>
            </w:r>
          </w:p>
          <w:p>
            <w:pPr>
              <w:spacing w:line="480" w:lineRule="auto"/>
              <w:rPr>
                <w:rFonts w:hint="eastAsia" w:ascii="宋体" w:hAnsi="宋体"/>
                <w:szCs w:val="21"/>
                <w:vertAlign w:val="baseline"/>
                <w:lang w:val="en-US" w:eastAsia="zh-CN"/>
              </w:rPr>
            </w:pPr>
            <w:r>
              <w:rPr>
                <w:rFonts w:hint="eastAsia" w:ascii="宋体" w:hAnsi="宋体"/>
                <w:b/>
                <w:bCs/>
                <w:szCs w:val="21"/>
                <w:vertAlign w:val="baseline"/>
                <w:lang w:val="en-US" w:eastAsia="zh-CN"/>
              </w:rPr>
              <w:t>办理日期：                                               办理日期：</w:t>
            </w:r>
          </w:p>
        </w:tc>
      </w:tr>
    </w:tbl>
    <w:p>
      <w:pPr>
        <w:spacing w:line="360" w:lineRule="auto"/>
        <w:rPr>
          <w:rFonts w:hint="eastAsia" w:ascii="宋体" w:hAnsi="宋体"/>
          <w:szCs w:val="21"/>
          <w:lang w:val="en-US" w:eastAsia="zh-CN"/>
        </w:rPr>
      </w:pPr>
      <w:r>
        <w:rPr>
          <w:rFonts w:hint="eastAsia" w:ascii="宋体" w:hAnsi="宋体"/>
          <w:szCs w:val="21"/>
          <w:lang w:val="en-US" w:eastAsia="zh-CN"/>
        </w:rPr>
        <w:t>受理人：                                    复核：                                   客服热线：96968</w:t>
      </w:r>
    </w:p>
    <w:p>
      <w:pPr>
        <w:jc w:val="center"/>
        <w:rPr>
          <w:rFonts w:hint="eastAsia"/>
          <w:sz w:val="32"/>
          <w:szCs w:val="32"/>
        </w:rPr>
      </w:pPr>
      <w:r>
        <w:rPr>
          <w:rFonts w:hint="eastAsia" w:ascii="方正小标宋简体" w:eastAsia="方正小标宋简体"/>
          <w:sz w:val="32"/>
          <w:szCs w:val="32"/>
        </w:rPr>
        <w:t>佛山市城市供用水合同（背书合同）</w:t>
      </w:r>
    </w:p>
    <w:p>
      <w:pPr>
        <w:tabs>
          <w:tab w:val="left" w:pos="0"/>
        </w:tabs>
        <w:spacing w:line="200" w:lineRule="exact"/>
        <w:rPr>
          <w:rFonts w:hint="eastAsia" w:ascii="仿宋" w:hAnsi="仿宋" w:eastAsia="仿宋" w:cs="仿宋"/>
          <w:sz w:val="18"/>
          <w:szCs w:val="18"/>
        </w:rPr>
      </w:pPr>
    </w:p>
    <w:p>
      <w:pPr>
        <w:tabs>
          <w:tab w:val="left" w:pos="0"/>
        </w:tabs>
        <w:spacing w:line="200" w:lineRule="exact"/>
        <w:rPr>
          <w:rFonts w:hint="eastAsia" w:ascii="仿宋" w:hAnsi="仿宋" w:eastAsia="仿宋" w:cs="仿宋"/>
          <w:sz w:val="18"/>
          <w:szCs w:val="18"/>
          <w:lang w:eastAsia="zh-CN"/>
        </w:rPr>
      </w:pPr>
      <w:r>
        <w:rPr>
          <w:rFonts w:hint="eastAsia" w:ascii="仿宋" w:hAnsi="仿宋" w:eastAsia="仿宋" w:cs="仿宋"/>
          <w:sz w:val="18"/>
          <w:szCs w:val="18"/>
        </w:rPr>
        <w:t xml:space="preserve">甲方：             </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乙方：</w:t>
      </w:r>
      <w:r>
        <w:rPr>
          <w:rFonts w:hint="eastAsia" w:ascii="仿宋" w:hAnsi="仿宋" w:eastAsia="仿宋" w:cs="仿宋"/>
          <w:sz w:val="18"/>
          <w:szCs w:val="18"/>
          <w:lang w:eastAsia="zh-CN"/>
        </w:rPr>
        <w:t>用水户</w:t>
      </w:r>
    </w:p>
    <w:p>
      <w:pPr>
        <w:spacing w:line="300" w:lineRule="exact"/>
        <w:ind w:left="17" w:leftChars="8" w:firstLine="397" w:firstLineChars="221"/>
        <w:rPr>
          <w:rFonts w:hint="eastAsia" w:ascii="仿宋" w:hAnsi="仿宋" w:eastAsia="仿宋" w:cs="仿宋"/>
          <w:sz w:val="18"/>
          <w:szCs w:val="18"/>
        </w:rPr>
      </w:pPr>
      <w:r>
        <w:rPr>
          <w:rFonts w:hint="eastAsia" w:ascii="仿宋" w:hAnsi="仿宋" w:eastAsia="仿宋" w:cs="仿宋"/>
          <w:sz w:val="18"/>
          <w:szCs w:val="18"/>
        </w:rPr>
        <w:t>本合同以《中华人民共和国合同法》、《消费者权益保护法》、《合同违法行为监督处理办法》、《城市供水条例》、《广东省城市供水管理规定》以及《佛山市供用水管理规定》为依据，经供、用水双方协商并一致同意后，共同签订。</w:t>
      </w:r>
    </w:p>
    <w:p>
      <w:pPr>
        <w:numPr>
          <w:ilvl w:val="0"/>
          <w:numId w:val="0"/>
        </w:numPr>
        <w:tabs>
          <w:tab w:val="left" w:pos="0"/>
        </w:tabs>
        <w:spacing w:line="300" w:lineRule="exact"/>
        <w:rPr>
          <w:rFonts w:hint="eastAsia" w:ascii="仿宋" w:hAnsi="仿宋" w:eastAsia="仿宋" w:cs="仿宋"/>
          <w:sz w:val="18"/>
          <w:szCs w:val="18"/>
        </w:rPr>
      </w:pPr>
      <w:r>
        <w:rPr>
          <w:rFonts w:hint="eastAsia" w:ascii="仿宋" w:hAnsi="仿宋" w:eastAsia="仿宋" w:cs="仿宋"/>
          <w:b w:val="0"/>
          <w:bCs w:val="0"/>
          <w:sz w:val="18"/>
          <w:szCs w:val="18"/>
          <w:lang w:eastAsia="zh-CN"/>
        </w:rPr>
        <w:t>第一条</w:t>
      </w:r>
      <w:r>
        <w:rPr>
          <w:rFonts w:hint="eastAsia" w:ascii="仿宋" w:hAnsi="仿宋" w:eastAsia="仿宋" w:cs="仿宋"/>
          <w:b w:val="0"/>
          <w:bCs w:val="0"/>
          <w:sz w:val="18"/>
          <w:szCs w:val="18"/>
          <w:lang w:val="en-US" w:eastAsia="zh-CN"/>
        </w:rPr>
        <w:t xml:space="preserve"> </w:t>
      </w:r>
      <w:r>
        <w:rPr>
          <w:rFonts w:hint="eastAsia" w:ascii="仿宋" w:hAnsi="仿宋" w:eastAsia="仿宋" w:cs="仿宋"/>
          <w:b/>
          <w:bCs/>
          <w:sz w:val="18"/>
          <w:szCs w:val="18"/>
        </w:rPr>
        <w:t>水费结算</w:t>
      </w:r>
      <w:r>
        <w:rPr>
          <w:rFonts w:hint="eastAsia" w:ascii="仿宋" w:hAnsi="仿宋" w:eastAsia="仿宋" w:cs="仿宋"/>
          <w:b/>
          <w:bCs/>
          <w:sz w:val="18"/>
          <w:szCs w:val="18"/>
        </w:rPr>
        <w:br w:type="textWrapping"/>
      </w:r>
      <w:r>
        <w:rPr>
          <w:rFonts w:hint="eastAsia" w:ascii="仿宋" w:hAnsi="仿宋" w:eastAsia="仿宋" w:cs="仿宋"/>
          <w:sz w:val="18"/>
          <w:szCs w:val="18"/>
        </w:rPr>
        <w:t>（一）双方以在</w:t>
      </w:r>
      <w:r>
        <w:rPr>
          <w:rFonts w:hint="eastAsia" w:ascii="仿宋" w:hAnsi="仿宋" w:eastAsia="仿宋" w:cs="仿宋"/>
          <w:sz w:val="18"/>
          <w:szCs w:val="18"/>
          <w:lang w:eastAsia="zh-CN"/>
        </w:rPr>
        <w:t>供水人</w:t>
      </w:r>
      <w:r>
        <w:rPr>
          <w:rFonts w:hint="eastAsia" w:ascii="仿宋" w:hAnsi="仿宋" w:eastAsia="仿宋" w:cs="仿宋"/>
          <w:sz w:val="18"/>
          <w:szCs w:val="18"/>
        </w:rPr>
        <w:t>处登记的注册水表或备案户表作为水费结算的依据，注册水表或备案户表应按规定经质量技术监督行政主管部门检定合格后才能使用。由</w:t>
      </w:r>
      <w:r>
        <w:rPr>
          <w:rFonts w:hint="eastAsia" w:ascii="仿宋" w:hAnsi="仿宋" w:eastAsia="仿宋" w:cs="仿宋"/>
          <w:sz w:val="18"/>
          <w:szCs w:val="18"/>
          <w:lang w:eastAsia="zh-CN"/>
        </w:rPr>
        <w:t>供水人</w:t>
      </w:r>
      <w:r>
        <w:rPr>
          <w:rFonts w:hint="eastAsia" w:ascii="仿宋" w:hAnsi="仿宋" w:eastAsia="仿宋" w:cs="仿宋"/>
          <w:sz w:val="18"/>
          <w:szCs w:val="18"/>
        </w:rPr>
        <w:t>安装用作计算用水量的水表称为注册水表。设有总表计量居民生活用水及公共用水总量，并设有户表计量各户居民生活用水量时，总表为注册水表；没有总表，只有户表时，户表为注册水表。</w:t>
      </w:r>
      <w:r>
        <w:rPr>
          <w:rFonts w:hint="eastAsia" w:ascii="仿宋" w:hAnsi="仿宋" w:eastAsia="仿宋" w:cs="仿宋"/>
          <w:sz w:val="18"/>
          <w:szCs w:val="18"/>
        </w:rPr>
        <w:br w:type="textWrapping"/>
      </w:r>
      <w:r>
        <w:rPr>
          <w:rFonts w:hint="eastAsia" w:ascii="仿宋" w:hAnsi="仿宋" w:eastAsia="仿宋" w:cs="仿宋"/>
          <w:sz w:val="18"/>
          <w:szCs w:val="18"/>
        </w:rPr>
        <w:t>（二）用水人按户表的用水量和总表分摊的公共用水量计算应缴费水量，</w:t>
      </w:r>
      <w:r>
        <w:rPr>
          <w:rFonts w:hint="eastAsia" w:ascii="仿宋" w:hAnsi="仿宋" w:eastAsia="仿宋" w:cs="仿宋"/>
          <w:sz w:val="18"/>
          <w:szCs w:val="18"/>
          <w:lang w:eastAsia="zh-CN"/>
        </w:rPr>
        <w:t>供水人</w:t>
      </w:r>
      <w:r>
        <w:rPr>
          <w:rFonts w:hint="eastAsia" w:ascii="仿宋" w:hAnsi="仿宋" w:eastAsia="仿宋" w:cs="仿宋"/>
          <w:sz w:val="18"/>
          <w:szCs w:val="18"/>
        </w:rPr>
        <w:t>应按物价行政主管部门批准的收费标准计收水费。在合同有效期内遇水价调整时</w:t>
      </w:r>
      <w:r>
        <w:rPr>
          <w:rFonts w:hint="eastAsia" w:ascii="仿宋" w:hAnsi="仿宋" w:eastAsia="仿宋" w:cs="仿宋"/>
          <w:sz w:val="18"/>
          <w:szCs w:val="18"/>
          <w:lang w:eastAsia="zh-CN"/>
        </w:rPr>
        <w:t>，</w:t>
      </w:r>
      <w:r>
        <w:rPr>
          <w:rFonts w:hint="eastAsia" w:ascii="仿宋" w:hAnsi="仿宋" w:eastAsia="仿宋" w:cs="仿宋"/>
          <w:sz w:val="18"/>
          <w:szCs w:val="18"/>
        </w:rPr>
        <w:t>按照调整文件规定执行。</w:t>
      </w:r>
      <w:r>
        <w:rPr>
          <w:rFonts w:hint="eastAsia" w:ascii="仿宋" w:hAnsi="仿宋" w:eastAsia="仿宋" w:cs="仿宋"/>
          <w:sz w:val="18"/>
          <w:szCs w:val="18"/>
        </w:rPr>
        <w:br w:type="textWrapping"/>
      </w:r>
      <w:r>
        <w:rPr>
          <w:rFonts w:hint="eastAsia" w:ascii="仿宋" w:hAnsi="仿宋" w:eastAsia="仿宋" w:cs="仿宋"/>
          <w:color w:val="auto"/>
          <w:sz w:val="18"/>
          <w:szCs w:val="18"/>
        </w:rPr>
        <w:t>（三）</w:t>
      </w:r>
      <w:r>
        <w:rPr>
          <w:rFonts w:hint="eastAsia" w:ascii="仿宋" w:hAnsi="仿宋" w:eastAsia="仿宋" w:cs="仿宋"/>
          <w:color w:val="auto"/>
          <w:sz w:val="18"/>
          <w:szCs w:val="18"/>
          <w:lang w:val="zh-CN"/>
        </w:rPr>
        <w:t>供水人按周期抄读水表，水表周期在官网及微信可查。用水人在每个计费周期后通过委托银行代扣、向供水人缴付现金、网上支付等方式缴交水费。当期水费应在当月</w:t>
      </w:r>
      <w:r>
        <w:rPr>
          <w:rFonts w:hint="eastAsia" w:ascii="仿宋" w:hAnsi="仿宋" w:eastAsia="仿宋" w:cs="仿宋"/>
          <w:color w:val="auto"/>
          <w:kern w:val="18"/>
          <w:sz w:val="18"/>
          <w:szCs w:val="18"/>
          <w:u w:val="single"/>
        </w:rPr>
        <w:t xml:space="preserve">    </w:t>
      </w:r>
      <w:r>
        <w:rPr>
          <w:rFonts w:hint="eastAsia" w:ascii="仿宋" w:hAnsi="仿宋" w:eastAsia="仿宋" w:cs="仿宋"/>
          <w:color w:val="auto"/>
          <w:sz w:val="18"/>
          <w:szCs w:val="18"/>
          <w:lang w:val="zh-CN"/>
        </w:rPr>
        <w:t>日结清。</w:t>
      </w:r>
    </w:p>
    <w:p>
      <w:pPr>
        <w:numPr>
          <w:ilvl w:val="0"/>
          <w:numId w:val="0"/>
        </w:numPr>
        <w:tabs>
          <w:tab w:val="left" w:pos="0"/>
        </w:tabs>
        <w:spacing w:line="3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（四）由于注册水表或备案户表发生故障、停坏或被关栏、阻隔等原因无法准确抄表的，则按上月用水量或前3个月平均用水量计收水费，</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准确抄表后按实际用水量多退少补；对于无上月行度水量参照的新用水人，则预收当月水费并更换水表，按实际用水量推算计收水费。</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（五）注册水表或备案户表如非人为损坏，用水人认为注册水表或备案户表不准确，可到</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办理验表手续，向质量技术监督行政部门</w:t>
      </w:r>
      <w:r>
        <w:rPr>
          <w:rFonts w:hint="eastAsia" w:ascii="仿宋" w:hAnsi="仿宋" w:eastAsia="仿宋" w:cs="仿宋"/>
          <w:color w:val="auto"/>
          <w:sz w:val="18"/>
          <w:szCs w:val="18"/>
          <w:highlight w:val="none"/>
          <w:lang w:eastAsia="zh-CN"/>
        </w:rPr>
        <w:t>申请</w:t>
      </w:r>
      <w:r>
        <w:rPr>
          <w:rFonts w:hint="eastAsia" w:ascii="仿宋" w:hAnsi="仿宋" w:eastAsia="仿宋" w:cs="仿宋"/>
          <w:color w:val="auto"/>
          <w:sz w:val="18"/>
          <w:szCs w:val="18"/>
          <w:highlight w:val="none"/>
        </w:rPr>
        <w:t>检定。检定结果为合格的，水表检定费由用水人负责；检定结果不合格的，水表检定费由</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负责，并以验表当月为期，根据实际情况最长可追溯前3个月，按水表快慢比例计算退还或追收水费。用水人对验表结果有异议的，在收到</w:t>
      </w:r>
      <w:r>
        <w:rPr>
          <w:rFonts w:hint="eastAsia" w:ascii="仿宋" w:hAnsi="仿宋" w:eastAsia="仿宋" w:cs="仿宋"/>
          <w:strike w:val="0"/>
          <w:dstrike w:val="0"/>
          <w:color w:val="auto"/>
          <w:sz w:val="18"/>
          <w:szCs w:val="18"/>
          <w:highlight w:val="none"/>
        </w:rPr>
        <w:t>仲裁</w:t>
      </w:r>
      <w:r>
        <w:rPr>
          <w:rFonts w:hint="eastAsia" w:ascii="仿宋" w:hAnsi="仿宋" w:eastAsia="仿宋" w:cs="仿宋"/>
          <w:color w:val="auto"/>
          <w:sz w:val="18"/>
          <w:szCs w:val="18"/>
          <w:highlight w:val="none"/>
        </w:rPr>
        <w:t>检定结果通知书之日起15日内可向上一级质量技术监督行政部门申请二次检定。</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（六）用水性质一经核定，用水人不得擅自变更，如需变更,应及时向</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申请办理变更手续。如果用水人混合用水，符合报装条件的，</w:t>
      </w:r>
      <w:r>
        <w:rPr>
          <w:rFonts w:hint="eastAsia" w:ascii="仿宋" w:hAnsi="仿宋" w:eastAsia="仿宋" w:cs="仿宋"/>
          <w:color w:val="auto"/>
          <w:sz w:val="18"/>
          <w:szCs w:val="18"/>
          <w:highlight w:val="none"/>
          <w:lang w:val="zh-CN"/>
        </w:rPr>
        <w:t>应向供水人申请安装独立水表计量；不符合报装条件或用水人未主动申请安装独立水表的，供水人有权按用水人所用水的最高水费类别计收全部水费</w:t>
      </w:r>
      <w:r>
        <w:rPr>
          <w:rFonts w:hint="eastAsia" w:ascii="仿宋" w:hAnsi="仿宋" w:eastAsia="仿宋" w:cs="仿宋"/>
          <w:color w:val="auto"/>
          <w:sz w:val="18"/>
          <w:szCs w:val="18"/>
          <w:highlight w:val="none"/>
        </w:rPr>
        <w:t>。</w:t>
      </w:r>
    </w:p>
    <w:p>
      <w:pPr>
        <w:numPr>
          <w:ilvl w:val="0"/>
          <w:numId w:val="2"/>
        </w:numPr>
        <w:spacing w:line="240" w:lineRule="auto"/>
        <w:ind w:left="0" w:leftChars="0" w:firstLine="0" w:firstLineChars="0"/>
        <w:rPr>
          <w:rFonts w:hint="eastAsia" w:ascii="仿宋" w:hAnsi="仿宋" w:eastAsia="仿宋" w:cs="仿宋"/>
          <w:color w:val="auto"/>
          <w:sz w:val="18"/>
          <w:szCs w:val="18"/>
          <w:highlight w:val="none"/>
          <w:lang w:eastAsia="zh-CN"/>
        </w:rPr>
      </w:pPr>
      <w:r>
        <w:rPr>
          <w:rFonts w:hint="eastAsia" w:ascii="仿宋" w:hAnsi="仿宋" w:eastAsia="仿宋" w:cs="仿宋"/>
          <w:b/>
          <w:bCs/>
          <w:color w:val="auto"/>
          <w:sz w:val="18"/>
          <w:szCs w:val="18"/>
          <w:highlight w:val="none"/>
          <w:lang w:val="en-US" w:eastAsia="zh-CN"/>
        </w:rPr>
        <w:t xml:space="preserve"> </w:t>
      </w:r>
      <w:r>
        <w:rPr>
          <w:rFonts w:hint="eastAsia" w:ascii="仿宋" w:hAnsi="仿宋" w:eastAsia="仿宋" w:cs="仿宋"/>
          <w:b/>
          <w:bCs/>
          <w:color w:val="auto"/>
          <w:sz w:val="18"/>
          <w:szCs w:val="18"/>
          <w:highlight w:val="none"/>
        </w:rPr>
        <w:t>供、用水设施产权分界点及维护管理责任</w:t>
      </w:r>
      <w:r>
        <w:rPr>
          <w:rFonts w:hint="eastAsia" w:ascii="仿宋" w:hAnsi="仿宋" w:eastAsia="仿宋" w:cs="仿宋"/>
          <w:b/>
          <w:bCs/>
          <w:color w:val="auto"/>
          <w:sz w:val="18"/>
          <w:szCs w:val="18"/>
          <w:highlight w:val="none"/>
        </w:rPr>
        <w:br w:type="textWrapping"/>
      </w:r>
      <w:r>
        <w:rPr>
          <w:rFonts w:hint="eastAsia" w:ascii="仿宋" w:hAnsi="仿宋" w:eastAsia="仿宋" w:cs="仿宋"/>
          <w:color w:val="auto"/>
          <w:sz w:val="18"/>
          <w:szCs w:val="18"/>
          <w:highlight w:val="none"/>
        </w:rPr>
        <w:t>（一）供、用水设施的产权分界点：</w:t>
      </w:r>
      <w:r>
        <w:rPr>
          <w:rFonts w:hint="eastAsia" w:ascii="仿宋" w:hAnsi="仿宋" w:eastAsia="仿宋" w:cs="仿宋"/>
          <w:color w:val="auto"/>
          <w:sz w:val="18"/>
          <w:szCs w:val="18"/>
          <w:highlight w:val="none"/>
          <w:lang w:eastAsia="zh-CN"/>
        </w:rPr>
        <w:t>注册水表及其之前的供水设施，一经验收合格投入使用，应移交供水人维护管理，用户不得私自移动或拆除。任何人不应在水表附近堆放障碍物及搭建临时构筑物，影响抄表及水表维护管理工作。注册水表后的供水设施的管理维护及相关费用由产权人、使用人或物业管理单位负责。</w:t>
      </w:r>
    </w:p>
    <w:p>
      <w:pPr>
        <w:numPr>
          <w:ilvl w:val="0"/>
          <w:numId w:val="0"/>
        </w:numPr>
        <w:tabs>
          <w:tab w:val="left" w:pos="0"/>
        </w:tabs>
        <w:spacing w:line="240" w:lineRule="auto"/>
        <w:ind w:leftChars="0"/>
        <w:rPr>
          <w:rFonts w:hint="eastAsia" w:ascii="仿宋" w:hAnsi="仿宋" w:eastAsia="仿宋" w:cs="仿宋"/>
          <w:color w:val="auto"/>
          <w:sz w:val="18"/>
          <w:szCs w:val="18"/>
          <w:highlight w:val="none"/>
          <w:lang w:val="zh-CN"/>
        </w:rPr>
      </w:pPr>
      <w:r>
        <w:rPr>
          <w:rFonts w:hint="eastAsia" w:ascii="仿宋" w:hAnsi="仿宋" w:eastAsia="仿宋" w:cs="仿宋"/>
          <w:color w:val="auto"/>
          <w:sz w:val="18"/>
          <w:szCs w:val="18"/>
          <w:highlight w:val="none"/>
        </w:rPr>
        <w:t>（二）若注册水表组或</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备案的户表组出现人为损坏或遗失情况，由用水人出资，</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负责安装</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sz w:val="18"/>
          <w:szCs w:val="18"/>
          <w:highlight w:val="none"/>
          <w:lang w:val="en-US" w:eastAsia="zh-CN"/>
        </w:rPr>
        <w:t>如</w:t>
      </w:r>
      <w:r>
        <w:rPr>
          <w:rFonts w:hint="eastAsia" w:ascii="仿宋" w:hAnsi="仿宋" w:eastAsia="仿宋" w:cs="仿宋"/>
          <w:color w:val="auto"/>
          <w:sz w:val="18"/>
          <w:szCs w:val="18"/>
          <w:highlight w:val="none"/>
        </w:rPr>
        <w:t>注册水表组或</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备案的户表组</w:t>
      </w:r>
      <w:r>
        <w:rPr>
          <w:rFonts w:hint="eastAsia" w:ascii="仿宋" w:hAnsi="仿宋" w:eastAsia="仿宋" w:cs="仿宋"/>
          <w:color w:val="auto"/>
          <w:sz w:val="18"/>
          <w:szCs w:val="18"/>
          <w:highlight w:val="none"/>
          <w:lang w:val="en-US" w:eastAsia="zh-CN"/>
        </w:rPr>
        <w:t>出现自然损耗致无法正常使用的情况，</w:t>
      </w:r>
      <w:r>
        <w:rPr>
          <w:rFonts w:hint="eastAsia" w:ascii="仿宋" w:hAnsi="仿宋" w:eastAsia="仿宋" w:cs="仿宋"/>
          <w:color w:val="auto"/>
          <w:sz w:val="18"/>
          <w:szCs w:val="18"/>
          <w:highlight w:val="none"/>
          <w:lang w:eastAsia="zh-CN"/>
        </w:rPr>
        <w:t>则由供水人负责出资并安装。</w:t>
      </w:r>
      <w:r>
        <w:rPr>
          <w:rFonts w:hint="eastAsia" w:ascii="仿宋" w:hAnsi="仿宋" w:eastAsia="仿宋" w:cs="仿宋"/>
          <w:color w:val="auto"/>
          <w:sz w:val="18"/>
          <w:szCs w:val="18"/>
          <w:highlight w:val="none"/>
        </w:rPr>
        <w:t>（农村代管以</w:t>
      </w:r>
      <w:r>
        <w:rPr>
          <w:rFonts w:hint="eastAsia" w:ascii="仿宋" w:hAnsi="仿宋" w:eastAsia="仿宋" w:cs="仿宋"/>
          <w:color w:val="auto"/>
          <w:sz w:val="18"/>
          <w:szCs w:val="18"/>
          <w:highlight w:val="none"/>
          <w:lang w:val="en-US" w:eastAsia="zh-CN"/>
        </w:rPr>
        <w:t>合同</w:t>
      </w:r>
      <w:r>
        <w:rPr>
          <w:rFonts w:hint="eastAsia" w:ascii="仿宋" w:hAnsi="仿宋" w:eastAsia="仿宋" w:cs="仿宋"/>
          <w:color w:val="auto"/>
          <w:sz w:val="18"/>
          <w:szCs w:val="18"/>
          <w:highlight w:val="none"/>
        </w:rPr>
        <w:t>双方</w:t>
      </w:r>
      <w:r>
        <w:rPr>
          <w:rFonts w:hint="eastAsia" w:ascii="仿宋" w:hAnsi="仿宋" w:eastAsia="仿宋" w:cs="仿宋"/>
          <w:color w:val="auto"/>
          <w:sz w:val="18"/>
          <w:szCs w:val="18"/>
          <w:highlight w:val="none"/>
          <w:lang w:val="en-US" w:eastAsia="zh-CN"/>
        </w:rPr>
        <w:t>另行</w:t>
      </w:r>
      <w:r>
        <w:rPr>
          <w:rFonts w:hint="eastAsia" w:ascii="仿宋" w:hAnsi="仿宋" w:eastAsia="仿宋" w:cs="仿宋"/>
          <w:color w:val="auto"/>
          <w:sz w:val="18"/>
          <w:szCs w:val="18"/>
          <w:highlight w:val="none"/>
        </w:rPr>
        <w:t>约定为准）</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（三）对消防性质用水的水表用水，用水人不得用于其它用途，否则用水人应承担相应的责任</w:t>
      </w:r>
      <w:r>
        <w:rPr>
          <w:rFonts w:hint="eastAsia" w:ascii="仿宋" w:hAnsi="仿宋" w:eastAsia="仿宋" w:cs="仿宋"/>
          <w:color w:val="auto"/>
          <w:sz w:val="18"/>
          <w:szCs w:val="18"/>
          <w:highlight w:val="none"/>
          <w:lang w:val="zh-CN"/>
        </w:rPr>
        <w:t>。</w:t>
      </w:r>
    </w:p>
    <w:p>
      <w:pPr>
        <w:numPr>
          <w:ilvl w:val="0"/>
          <w:numId w:val="0"/>
        </w:numPr>
        <w:spacing w:line="240" w:lineRule="auto"/>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lang w:val="zh-CN"/>
        </w:rPr>
        <w:t>第三条</w:t>
      </w:r>
      <w:r>
        <w:rPr>
          <w:rFonts w:hint="eastAsia" w:ascii="仿宋" w:hAnsi="仿宋" w:eastAsia="仿宋" w:cs="仿宋"/>
          <w:color w:val="auto"/>
          <w:sz w:val="18"/>
          <w:szCs w:val="18"/>
          <w:highlight w:val="none"/>
          <w:lang w:val="en-US" w:eastAsia="zh-CN"/>
        </w:rPr>
        <w:t xml:space="preserve">  </w:t>
      </w:r>
      <w:r>
        <w:rPr>
          <w:rFonts w:hint="eastAsia" w:ascii="仿宋" w:hAnsi="仿宋" w:eastAsia="仿宋" w:cs="仿宋"/>
          <w:b/>
          <w:bCs/>
          <w:color w:val="auto"/>
          <w:sz w:val="18"/>
          <w:szCs w:val="18"/>
          <w:highlight w:val="none"/>
          <w:lang w:eastAsia="zh-CN"/>
        </w:rPr>
        <w:t>供水人</w:t>
      </w:r>
      <w:r>
        <w:rPr>
          <w:rFonts w:hint="eastAsia" w:ascii="仿宋" w:hAnsi="仿宋" w:eastAsia="仿宋" w:cs="仿宋"/>
          <w:b/>
          <w:bCs/>
          <w:color w:val="auto"/>
          <w:sz w:val="18"/>
          <w:szCs w:val="18"/>
          <w:highlight w:val="none"/>
        </w:rPr>
        <w:t>、用水人权利义务</w:t>
      </w:r>
      <w:r>
        <w:rPr>
          <w:rFonts w:hint="eastAsia" w:ascii="仿宋" w:hAnsi="仿宋" w:eastAsia="仿宋" w:cs="仿宋"/>
          <w:b/>
          <w:bCs/>
          <w:color w:val="auto"/>
          <w:sz w:val="18"/>
          <w:szCs w:val="18"/>
          <w:highlight w:val="none"/>
        </w:rPr>
        <w:br w:type="textWrapping"/>
      </w:r>
      <w:r>
        <w:rPr>
          <w:rFonts w:hint="eastAsia" w:ascii="仿宋" w:hAnsi="仿宋" w:eastAsia="仿宋" w:cs="仿宋"/>
          <w:color w:val="auto"/>
          <w:sz w:val="18"/>
          <w:szCs w:val="18"/>
          <w:highlight w:val="none"/>
        </w:rPr>
        <w:t>（一）</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应确保注册水表前或二次供水系统前的供水压力和水质符合国家和行业等标准，在合同有效期内，除不可抗力、管网建设和维护需要或者政府行为等原因造成供水间断外，</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应通过城市公共供水管网及附属设施向用水人提供不间断供水。</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（二）</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有权监督用水人按照约定的用水量、用水性质、用水四至范围用水（即</w:t>
      </w:r>
      <w:r>
        <w:rPr>
          <w:rFonts w:hint="eastAsia" w:ascii="仿宋" w:hAnsi="仿宋" w:eastAsia="仿宋" w:cs="仿宋"/>
          <w:color w:val="auto"/>
          <w:sz w:val="18"/>
          <w:szCs w:val="18"/>
          <w:highlight w:val="none"/>
          <w:lang w:eastAsia="zh-CN"/>
        </w:rPr>
        <w:t>用水人</w:t>
      </w:r>
      <w:r>
        <w:rPr>
          <w:rFonts w:hint="eastAsia" w:ascii="仿宋" w:hAnsi="仿宋" w:eastAsia="仿宋" w:cs="仿宋"/>
          <w:color w:val="auto"/>
          <w:sz w:val="18"/>
          <w:szCs w:val="18"/>
          <w:highlight w:val="none"/>
        </w:rPr>
        <w:t>用水区域) </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sz w:val="18"/>
          <w:szCs w:val="18"/>
          <w:highlight w:val="none"/>
        </w:rPr>
        <w:t>对于已界定责任属于</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的水表故障，</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应于30天内予以解决，用水人应予以配合；</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（三）</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由于计划性工程施工、设备维修等原因确需停止供水的，应当向当地供水主管部门提出申请，并提前24小时发出公告。（具体按当地供水主管部门规定执行）</w:t>
      </w:r>
      <w:bookmarkStart w:id="0" w:name="_GoBack"/>
      <w:bookmarkEnd w:id="0"/>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（四）用水人应按时交纳水费，扣费成功由</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按规定提供发票。</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（五）用水人需要不间断用水或者对水压、水质有特殊要求的</w:t>
      </w:r>
      <w:r>
        <w:rPr>
          <w:rFonts w:hint="eastAsia" w:ascii="仿宋" w:hAnsi="仿宋" w:eastAsia="仿宋" w:cs="仿宋"/>
          <w:color w:val="auto"/>
          <w:sz w:val="18"/>
          <w:szCs w:val="18"/>
          <w:highlight w:val="none"/>
          <w:lang w:eastAsia="zh-CN"/>
        </w:rPr>
        <w:t>，</w:t>
      </w:r>
      <w:r>
        <w:rPr>
          <w:rFonts w:hint="eastAsia" w:ascii="仿宋" w:hAnsi="仿宋" w:eastAsia="仿宋" w:cs="仿宋"/>
          <w:color w:val="auto"/>
          <w:sz w:val="18"/>
          <w:szCs w:val="18"/>
          <w:highlight w:val="none"/>
        </w:rPr>
        <w:t>应自行设置贮水、间接加压设施及水处理设备，但不得影响</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对其他用水人的正常供水。</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（六）用水人不得擅自拆除、改装或者迁移注册水表或</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备案户表；用水人更改资料、取消或暂停用水的,应向</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申请办理手续；对于已界定责任属于用水人的水表故障、停坏或被关栏、阻隔等，用水人应于30天内予以解决，</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应予以配合。</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（七）用水人暂停用水6个月以内的，按停水留表办理，在此时间内恢复用水者，要办理恢复用水手续；超过6个月后恢复用水者，或因违章用水被</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作停水超过6个月未接受处理的，需重新办理新装用水手续。对于存在纠纷的水表，</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可暂不受理其申请</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（八）因用水人原因，导致用水人实际用水量与报装时的设计用水量不符，影响水表正常计量水量的，应及时向</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申请更换水表，所需费用由用水人承担。</w:t>
      </w:r>
    </w:p>
    <w:p>
      <w:pPr>
        <w:rPr>
          <w:rFonts w:hint="eastAsia" w:ascii="仿宋" w:hAnsi="仿宋" w:eastAsia="仿宋" w:cs="仿宋"/>
          <w:color w:val="auto"/>
          <w:sz w:val="18"/>
          <w:szCs w:val="18"/>
          <w:highlight w:val="none"/>
        </w:rPr>
      </w:pPr>
      <w:r>
        <w:rPr>
          <w:rFonts w:hint="eastAsia" w:ascii="仿宋" w:hAnsi="仿宋" w:eastAsia="仿宋" w:cs="仿宋"/>
          <w:b w:val="0"/>
          <w:bCs w:val="0"/>
          <w:color w:val="auto"/>
          <w:sz w:val="18"/>
          <w:szCs w:val="18"/>
          <w:highlight w:val="none"/>
          <w:lang w:eastAsia="zh-CN"/>
        </w:rPr>
        <w:t>第四条</w:t>
      </w:r>
      <w:r>
        <w:rPr>
          <w:rFonts w:hint="eastAsia" w:ascii="仿宋" w:hAnsi="仿宋" w:eastAsia="仿宋" w:cs="仿宋"/>
          <w:b w:val="0"/>
          <w:bCs w:val="0"/>
          <w:color w:val="auto"/>
          <w:sz w:val="18"/>
          <w:szCs w:val="18"/>
          <w:highlight w:val="none"/>
          <w:lang w:val="en-US" w:eastAsia="zh-CN"/>
        </w:rPr>
        <w:t xml:space="preserve"> </w:t>
      </w:r>
      <w:r>
        <w:rPr>
          <w:rFonts w:hint="eastAsia" w:ascii="仿宋" w:hAnsi="仿宋" w:eastAsia="仿宋" w:cs="仿宋"/>
          <w:b/>
          <w:bCs/>
          <w:color w:val="auto"/>
          <w:sz w:val="18"/>
          <w:szCs w:val="18"/>
          <w:highlight w:val="none"/>
          <w:lang w:val="en-US" w:eastAsia="zh-CN"/>
        </w:rPr>
        <w:t xml:space="preserve"> </w:t>
      </w:r>
      <w:r>
        <w:rPr>
          <w:rFonts w:hint="eastAsia" w:ascii="仿宋" w:hAnsi="仿宋" w:eastAsia="仿宋" w:cs="仿宋"/>
          <w:b/>
          <w:bCs/>
          <w:color w:val="auto"/>
          <w:sz w:val="18"/>
          <w:szCs w:val="18"/>
          <w:highlight w:val="none"/>
        </w:rPr>
        <w:t>违约责任</w:t>
      </w:r>
      <w:r>
        <w:rPr>
          <w:rFonts w:hint="eastAsia" w:ascii="仿宋" w:hAnsi="仿宋" w:eastAsia="仿宋" w:cs="仿宋"/>
          <w:b/>
          <w:bCs/>
          <w:color w:val="auto"/>
          <w:sz w:val="18"/>
          <w:szCs w:val="18"/>
          <w:highlight w:val="none"/>
        </w:rPr>
        <w:br w:type="textWrapping"/>
      </w:r>
      <w:r>
        <w:rPr>
          <w:rFonts w:hint="eastAsia" w:ascii="仿宋" w:hAnsi="仿宋" w:eastAsia="仿宋" w:cs="仿宋"/>
          <w:color w:val="auto"/>
          <w:sz w:val="18"/>
          <w:szCs w:val="18"/>
          <w:highlight w:val="none"/>
        </w:rPr>
        <w:t>（一）</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违反本合同第</w:t>
      </w:r>
      <w:r>
        <w:rPr>
          <w:rFonts w:hint="eastAsia" w:ascii="仿宋" w:hAnsi="仿宋" w:eastAsia="仿宋" w:cs="仿宋"/>
          <w:color w:val="auto"/>
          <w:sz w:val="18"/>
          <w:szCs w:val="18"/>
          <w:highlight w:val="none"/>
          <w:lang w:eastAsia="zh-CN"/>
        </w:rPr>
        <w:t>三</w:t>
      </w:r>
      <w:r>
        <w:rPr>
          <w:rFonts w:hint="eastAsia" w:ascii="仿宋" w:hAnsi="仿宋" w:eastAsia="仿宋" w:cs="仿宋"/>
          <w:color w:val="auto"/>
          <w:sz w:val="18"/>
          <w:szCs w:val="18"/>
          <w:highlight w:val="none"/>
        </w:rPr>
        <w:t>条第（一）点的，由当地供水主管部门根据《广东省供用水管理规定》给予相应的处罚。</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二）用水户未按规定时间足额交纳水费的，供水企业应予催告；经催告用水户仍不按合同约定交纳相关费用的，供水企业应书面报告当地供水主管部门，经批准后，可采取停止供水措施，并应提前10日通知用水户。被停止供水的用户在6个月内交齐合同约定费用的，供水企业应当在24小时内恢复供水；用水户欠费6个月以上的，经催告无效的，供水企业应书面报告当地供水主管部门，经批准后，可注销用户档案。当地供水主管部门在接到供水企业提交的停水、销户书面报告后，在10个工作日内予以批复。</w:t>
      </w:r>
    </w:p>
    <w:p>
      <w:pPr>
        <w:numPr>
          <w:ilvl w:val="0"/>
          <w:numId w:val="0"/>
        </w:numPr>
        <w:tabs>
          <w:tab w:val="left" w:pos="0"/>
        </w:tabs>
        <w:spacing w:line="3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（三）用水人私自改变用水性质、向其他用水人转供水或私自接驳低水价类别用水、向合同约定的四至外供水，未到</w:t>
      </w:r>
      <w:r>
        <w:rPr>
          <w:rFonts w:hint="eastAsia" w:ascii="仿宋" w:hAnsi="仿宋" w:eastAsia="仿宋" w:cs="仿宋"/>
          <w:color w:val="auto"/>
          <w:sz w:val="18"/>
          <w:szCs w:val="18"/>
          <w:highlight w:val="none"/>
          <w:lang w:eastAsia="zh-CN"/>
        </w:rPr>
        <w:t>供水人</w:t>
      </w:r>
      <w:r>
        <w:rPr>
          <w:rFonts w:hint="eastAsia" w:ascii="仿宋" w:hAnsi="仿宋" w:eastAsia="仿宋" w:cs="仿宋"/>
          <w:color w:val="auto"/>
          <w:sz w:val="18"/>
          <w:szCs w:val="18"/>
          <w:highlight w:val="none"/>
        </w:rPr>
        <w:t>处办理变更手续的，用水人除补交水价差价的水费外，还应当支付水费10%的违约金。</w:t>
      </w:r>
      <w:r>
        <w:rPr>
          <w:rFonts w:hint="eastAsia" w:ascii="仿宋" w:hAnsi="仿宋" w:eastAsia="仿宋" w:cs="仿宋"/>
          <w:color w:val="auto"/>
          <w:sz w:val="18"/>
          <w:szCs w:val="18"/>
          <w:highlight w:val="none"/>
        </w:rPr>
        <w:br w:type="textWrapping"/>
      </w:r>
      <w:r>
        <w:rPr>
          <w:rFonts w:hint="eastAsia" w:ascii="仿宋" w:hAnsi="仿宋" w:eastAsia="仿宋" w:cs="仿宋"/>
          <w:color w:val="auto"/>
          <w:sz w:val="18"/>
          <w:szCs w:val="18"/>
          <w:highlight w:val="none"/>
        </w:rPr>
        <w:t>（四）</w:t>
      </w:r>
      <w:r>
        <w:rPr>
          <w:rFonts w:hint="eastAsia" w:ascii="仿宋" w:hAnsi="仿宋" w:eastAsia="仿宋" w:cs="仿宋"/>
          <w:color w:val="auto"/>
          <w:sz w:val="18"/>
          <w:szCs w:val="18"/>
          <w:highlight w:val="none"/>
          <w:lang w:val="zh-CN"/>
        </w:rPr>
        <w:t>用水人擅自开启市政消防栓用水、私自接驳市政供水管道、直接在供水管道上装泵抽水、私自迁移水表（或者供水管道）、损坏水表（或者供水管道）等属于违章用水行为，供水人有权追究用水人责任，且有权向有关部门举报</w:t>
      </w:r>
      <w:r>
        <w:rPr>
          <w:rFonts w:hint="eastAsia" w:ascii="仿宋" w:hAnsi="仿宋" w:eastAsia="仿宋" w:cs="仿宋"/>
          <w:color w:val="auto"/>
          <w:sz w:val="18"/>
          <w:szCs w:val="18"/>
          <w:highlight w:val="none"/>
        </w:rPr>
        <w:t>。</w:t>
      </w:r>
    </w:p>
    <w:p>
      <w:pPr>
        <w:numPr>
          <w:ilvl w:val="0"/>
          <w:numId w:val="0"/>
        </w:numPr>
        <w:tabs>
          <w:tab w:val="left" w:pos="0"/>
        </w:tabs>
        <w:spacing w:line="300" w:lineRule="exact"/>
        <w:rPr>
          <w:rFonts w:hint="eastAsia" w:ascii="仿宋" w:hAnsi="仿宋" w:eastAsia="仿宋" w:cs="仿宋"/>
          <w:sz w:val="18"/>
          <w:szCs w:val="18"/>
        </w:rPr>
      </w:pPr>
      <w:r>
        <w:rPr>
          <w:rFonts w:hint="eastAsia" w:ascii="仿宋" w:hAnsi="仿宋" w:eastAsia="仿宋" w:cs="仿宋"/>
          <w:b w:val="0"/>
          <w:bCs w:val="0"/>
          <w:sz w:val="18"/>
          <w:szCs w:val="18"/>
          <w:lang w:eastAsia="zh-CN"/>
        </w:rPr>
        <w:t>第五条</w:t>
      </w:r>
      <w:r>
        <w:rPr>
          <w:rFonts w:hint="eastAsia" w:ascii="仿宋" w:hAnsi="仿宋" w:eastAsia="仿宋" w:cs="仿宋"/>
          <w:b/>
          <w:bCs/>
          <w:sz w:val="18"/>
          <w:szCs w:val="18"/>
          <w:lang w:val="en-US" w:eastAsia="zh-CN"/>
        </w:rPr>
        <w:t xml:space="preserve">  </w:t>
      </w:r>
      <w:r>
        <w:rPr>
          <w:rFonts w:hint="eastAsia" w:ascii="仿宋" w:hAnsi="仿宋" w:eastAsia="仿宋" w:cs="仿宋"/>
          <w:b/>
          <w:bCs/>
          <w:sz w:val="18"/>
          <w:szCs w:val="18"/>
        </w:rPr>
        <w:t>合同有效期限</w:t>
      </w:r>
      <w:r>
        <w:rPr>
          <w:rFonts w:hint="eastAsia" w:ascii="仿宋" w:hAnsi="仿宋" w:eastAsia="仿宋" w:cs="仿宋"/>
          <w:b/>
          <w:bCs/>
          <w:sz w:val="18"/>
          <w:szCs w:val="18"/>
        </w:rPr>
        <w:br w:type="textWrapping"/>
      </w:r>
      <w:r>
        <w:rPr>
          <w:rFonts w:hint="eastAsia" w:ascii="仿宋" w:hAnsi="仿宋" w:eastAsia="仿宋" w:cs="仿宋"/>
          <w:sz w:val="18"/>
          <w:szCs w:val="18"/>
        </w:rPr>
        <w:t>本合同自双方签订之日起（新装水表以竣工验收日期起）生效，一式二份，</w:t>
      </w:r>
      <w:r>
        <w:rPr>
          <w:rFonts w:hint="eastAsia" w:ascii="仿宋" w:hAnsi="仿宋" w:eastAsia="仿宋" w:cs="仿宋"/>
          <w:sz w:val="18"/>
          <w:szCs w:val="18"/>
          <w:lang w:eastAsia="zh-CN"/>
        </w:rPr>
        <w:t>供</w:t>
      </w:r>
      <w:r>
        <w:rPr>
          <w:rFonts w:hint="eastAsia" w:ascii="仿宋" w:hAnsi="仿宋" w:eastAsia="仿宋" w:cs="仿宋"/>
          <w:sz w:val="18"/>
          <w:szCs w:val="18"/>
        </w:rPr>
        <w:t>、</w:t>
      </w:r>
      <w:r>
        <w:rPr>
          <w:rFonts w:hint="eastAsia" w:ascii="仿宋" w:hAnsi="仿宋" w:eastAsia="仿宋" w:cs="仿宋"/>
          <w:sz w:val="18"/>
          <w:szCs w:val="18"/>
          <w:lang w:eastAsia="zh-CN"/>
        </w:rPr>
        <w:t>用水</w:t>
      </w:r>
      <w:r>
        <w:rPr>
          <w:rFonts w:hint="eastAsia" w:ascii="仿宋" w:hAnsi="仿宋" w:eastAsia="仿宋" w:cs="仿宋"/>
          <w:sz w:val="18"/>
          <w:szCs w:val="18"/>
        </w:rPr>
        <w:t>双方各执一份，具同等法律效力。本合同在用水人变更后即告终止。合同终止，</w:t>
      </w:r>
      <w:r>
        <w:rPr>
          <w:rFonts w:hint="eastAsia" w:ascii="仿宋" w:hAnsi="仿宋" w:eastAsia="仿宋" w:cs="仿宋"/>
          <w:sz w:val="18"/>
          <w:szCs w:val="18"/>
          <w:lang w:eastAsia="zh-CN"/>
        </w:rPr>
        <w:t>供水人</w:t>
      </w:r>
      <w:r>
        <w:rPr>
          <w:rFonts w:hint="eastAsia" w:ascii="仿宋" w:hAnsi="仿宋" w:eastAsia="仿宋" w:cs="仿宋"/>
          <w:sz w:val="18"/>
          <w:szCs w:val="18"/>
        </w:rPr>
        <w:t>停止供水。原用水设施需继续用水的，请及时办理变更用水手续，并重新订立合同。</w:t>
      </w:r>
    </w:p>
    <w:p>
      <w:pPr>
        <w:numPr>
          <w:ilvl w:val="0"/>
          <w:numId w:val="0"/>
        </w:numPr>
        <w:tabs>
          <w:tab w:val="left" w:pos="0"/>
        </w:tabs>
        <w:spacing w:line="300" w:lineRule="exact"/>
        <w:rPr>
          <w:rFonts w:hint="eastAsia" w:ascii="仿宋" w:hAnsi="仿宋" w:eastAsia="仿宋" w:cs="仿宋"/>
          <w:sz w:val="18"/>
          <w:szCs w:val="18"/>
          <w:u w:val="single"/>
        </w:rPr>
      </w:pPr>
      <w:r>
        <w:rPr>
          <w:rFonts w:hint="eastAsia" w:ascii="仿宋" w:hAnsi="仿宋" w:eastAsia="仿宋" w:cs="仿宋"/>
          <w:sz w:val="18"/>
          <w:szCs w:val="18"/>
          <w:lang w:eastAsia="zh-CN"/>
        </w:rPr>
        <w:t>第六条</w:t>
      </w:r>
      <w:r>
        <w:rPr>
          <w:rFonts w:hint="eastAsia" w:ascii="仿宋" w:hAnsi="仿宋" w:eastAsia="仿宋" w:cs="仿宋"/>
          <w:sz w:val="18"/>
          <w:szCs w:val="18"/>
          <w:lang w:val="en-US" w:eastAsia="zh-CN"/>
        </w:rPr>
        <w:t xml:space="preserve">  </w:t>
      </w:r>
      <w:r>
        <w:rPr>
          <w:rFonts w:hint="eastAsia" w:ascii="仿宋" w:hAnsi="仿宋" w:eastAsia="仿宋" w:cs="仿宋"/>
          <w:b/>
          <w:bCs/>
          <w:sz w:val="18"/>
          <w:szCs w:val="18"/>
        </w:rPr>
        <w:t>其它约定：</w:t>
      </w:r>
      <w:r>
        <w:rPr>
          <w:rFonts w:hint="eastAsia" w:ascii="仿宋" w:hAnsi="仿宋" w:eastAsia="仿宋" w:cs="仿宋"/>
          <w:b/>
          <w:bCs/>
          <w:sz w:val="18"/>
          <w:szCs w:val="18"/>
        </w:rPr>
        <w:br w:type="textWrapping"/>
      </w:r>
      <w:r>
        <w:rPr>
          <w:rFonts w:hint="eastAsia" w:ascii="仿宋" w:hAnsi="仿宋" w:eastAsia="仿宋" w:cs="仿宋"/>
          <w:sz w:val="18"/>
          <w:szCs w:val="18"/>
        </w:rPr>
        <w:t>（一）本协议未尽事宜，按照国家有关供水规定执行或由</w:t>
      </w:r>
      <w:r>
        <w:rPr>
          <w:rFonts w:hint="eastAsia" w:ascii="仿宋" w:hAnsi="仿宋" w:eastAsia="仿宋" w:cs="仿宋"/>
          <w:sz w:val="18"/>
          <w:szCs w:val="18"/>
          <w:lang w:eastAsia="zh-CN"/>
        </w:rPr>
        <w:t>供水人</w:t>
      </w:r>
      <w:r>
        <w:rPr>
          <w:rFonts w:hint="eastAsia" w:ascii="仿宋" w:hAnsi="仿宋" w:eastAsia="仿宋" w:cs="仿宋"/>
          <w:sz w:val="18"/>
          <w:szCs w:val="18"/>
        </w:rPr>
        <w:t xml:space="preserve">、用水人双方协议补充。                    </w:t>
      </w:r>
    </w:p>
    <w:p>
      <w:pPr>
        <w:tabs>
          <w:tab w:val="left" w:pos="1260"/>
        </w:tabs>
        <w:spacing w:line="300" w:lineRule="exact"/>
        <w:rPr>
          <w:rFonts w:hint="eastAsia" w:ascii="仿宋" w:hAnsi="仿宋" w:eastAsia="仿宋" w:cs="仿宋"/>
          <w:kern w:val="18"/>
          <w:sz w:val="18"/>
          <w:szCs w:val="18"/>
        </w:rPr>
      </w:pPr>
      <w:r>
        <w:rPr>
          <w:rFonts w:hint="eastAsia" w:ascii="仿宋" w:hAnsi="仿宋" w:eastAsia="仿宋" w:cs="仿宋"/>
          <w:sz w:val="18"/>
          <w:szCs w:val="18"/>
        </w:rPr>
        <w:t>（二）因履行本合同发生的争议，由</w:t>
      </w:r>
      <w:r>
        <w:rPr>
          <w:rFonts w:hint="eastAsia" w:ascii="仿宋" w:hAnsi="仿宋" w:eastAsia="仿宋" w:cs="仿宋"/>
          <w:sz w:val="18"/>
          <w:szCs w:val="18"/>
          <w:lang w:eastAsia="zh-CN"/>
        </w:rPr>
        <w:t>供水人</w:t>
      </w:r>
      <w:r>
        <w:rPr>
          <w:rFonts w:hint="eastAsia" w:ascii="仿宋" w:hAnsi="仿宋" w:eastAsia="仿宋" w:cs="仿宋"/>
          <w:sz w:val="18"/>
          <w:szCs w:val="18"/>
        </w:rPr>
        <w:t>、用水人双方协商解决，协商解决不成的，</w:t>
      </w:r>
      <w:r>
        <w:rPr>
          <w:rFonts w:hint="eastAsia" w:ascii="仿宋" w:hAnsi="仿宋" w:eastAsia="仿宋" w:cs="仿宋"/>
          <w:kern w:val="18"/>
          <w:sz w:val="18"/>
          <w:szCs w:val="18"/>
        </w:rPr>
        <w:t>则可选择以下第</w:t>
      </w:r>
      <w:r>
        <w:rPr>
          <w:rFonts w:hint="eastAsia" w:ascii="仿宋" w:hAnsi="仿宋" w:eastAsia="仿宋" w:cs="仿宋"/>
          <w:kern w:val="18"/>
          <w:sz w:val="18"/>
          <w:szCs w:val="18"/>
          <w:u w:val="single"/>
        </w:rPr>
        <w:t xml:space="preserve">    </w:t>
      </w:r>
      <w:r>
        <w:rPr>
          <w:rFonts w:hint="eastAsia" w:ascii="仿宋" w:hAnsi="仿宋" w:eastAsia="仿宋" w:cs="仿宋"/>
          <w:kern w:val="18"/>
          <w:sz w:val="18"/>
          <w:szCs w:val="18"/>
        </w:rPr>
        <w:t>条所述方式解决：</w:t>
      </w:r>
    </w:p>
    <w:p>
      <w:pPr>
        <w:spacing w:line="300" w:lineRule="exact"/>
        <w:rPr>
          <w:rFonts w:hint="eastAsia" w:ascii="仿宋" w:hAnsi="仿宋" w:eastAsia="仿宋" w:cs="仿宋"/>
          <w:kern w:val="18"/>
          <w:sz w:val="18"/>
          <w:szCs w:val="18"/>
        </w:rPr>
      </w:pPr>
      <w:r>
        <w:rPr>
          <w:rFonts w:hint="eastAsia" w:ascii="仿宋" w:hAnsi="仿宋" w:eastAsia="仿宋" w:cs="仿宋"/>
          <w:kern w:val="18"/>
          <w:sz w:val="18"/>
          <w:szCs w:val="18"/>
        </w:rPr>
        <w:t xml:space="preserve">    1.向佛山仲裁委员会申请仲裁；</w:t>
      </w:r>
    </w:p>
    <w:p>
      <w:pPr>
        <w:spacing w:line="300" w:lineRule="exact"/>
        <w:ind w:firstLine="360" w:firstLineChars="200"/>
        <w:rPr>
          <w:rFonts w:hint="eastAsia" w:ascii="仿宋" w:hAnsi="仿宋" w:eastAsia="仿宋" w:cs="仿宋"/>
          <w:kern w:val="18"/>
          <w:sz w:val="18"/>
          <w:szCs w:val="18"/>
        </w:rPr>
      </w:pPr>
      <w:r>
        <w:rPr>
          <w:rFonts w:hint="eastAsia" w:ascii="仿宋" w:hAnsi="仿宋" w:eastAsia="仿宋" w:cs="仿宋"/>
          <w:kern w:val="18"/>
          <w:sz w:val="18"/>
          <w:szCs w:val="18"/>
        </w:rPr>
        <w:t>2.向有管辖权的法院提起诉讼解决。</w:t>
      </w:r>
    </w:p>
    <w:p>
      <w:pPr>
        <w:spacing w:before="0" w:beforeLines="0"/>
        <w:jc w:val="left"/>
        <w:rPr>
          <w:rFonts w:hint="eastAsia" w:ascii="仿宋" w:hAnsi="仿宋" w:eastAsia="仿宋" w:cs="仿宋"/>
          <w:b w:val="0"/>
          <w:bCs w:val="0"/>
          <w:color w:val="auto"/>
          <w:sz w:val="18"/>
          <w:szCs w:val="18"/>
          <w:lang w:val="zh-CN"/>
        </w:rPr>
      </w:pPr>
      <w:r>
        <w:rPr>
          <w:rFonts w:hint="eastAsia" w:ascii="仿宋" w:hAnsi="仿宋" w:eastAsia="仿宋" w:cs="仿宋"/>
          <w:color w:val="auto"/>
          <w:kern w:val="18"/>
          <w:sz w:val="18"/>
          <w:szCs w:val="18"/>
          <w:lang w:eastAsia="zh-CN"/>
        </w:rPr>
        <w:t>（三）</w:t>
      </w:r>
      <w:r>
        <w:rPr>
          <w:rFonts w:hint="eastAsia" w:ascii="仿宋" w:hAnsi="仿宋" w:eastAsia="仿宋" w:cs="仿宋"/>
          <w:b w:val="0"/>
          <w:bCs w:val="0"/>
          <w:color w:val="auto"/>
          <w:sz w:val="18"/>
          <w:szCs w:val="18"/>
          <w:lang w:val="zh-CN"/>
        </w:rPr>
        <w:t>用水地址建筑物、构筑物被城市管理行政执法部门、区/镇人民政府等相关部门核实界定违法建设的，供水人有权停止对该用水地址供水。</w:t>
      </w:r>
    </w:p>
    <w:p>
      <w:pPr>
        <w:spacing w:before="0" w:beforeLines="0"/>
        <w:jc w:val="left"/>
        <w:rPr>
          <w:rFonts w:hint="eastAsia" w:ascii="仿宋" w:hAnsi="仿宋" w:eastAsia="仿宋" w:cs="仿宋"/>
          <w:b w:val="0"/>
          <w:bCs w:val="0"/>
          <w:color w:val="FF0000"/>
          <w:sz w:val="18"/>
          <w:szCs w:val="18"/>
          <w:highlight w:val="yellow"/>
          <w:lang w:val="en-US" w:eastAsia="zh-CN"/>
        </w:rPr>
      </w:pPr>
      <w:r>
        <w:rPr>
          <w:rFonts w:hint="eastAsia" w:ascii="仿宋" w:hAnsi="仿宋" w:eastAsia="仿宋" w:cs="仿宋"/>
          <w:b w:val="0"/>
          <w:bCs w:val="0"/>
          <w:color w:val="000000"/>
          <w:sz w:val="18"/>
          <w:szCs w:val="18"/>
          <w:highlight w:val="none"/>
          <w:lang w:val="en-US" w:eastAsia="zh-CN"/>
        </w:rPr>
        <w:t>(四)本合同条款如与</w:t>
      </w:r>
      <w:r>
        <w:rPr>
          <w:rFonts w:hint="eastAsia" w:ascii="仿宋" w:hAnsi="仿宋" w:eastAsia="仿宋" w:cs="仿宋"/>
          <w:color w:val="000000"/>
          <w:sz w:val="18"/>
          <w:szCs w:val="18"/>
          <w:highlight w:val="none"/>
        </w:rPr>
        <w:t>《中华人民共和国合同法》、《消费者权益保护法》、《合同违法行为监督处理办法》、《城市供水条例》、《广东省城市供水管理规定》以及《佛山市供用水管理规定》</w:t>
      </w:r>
      <w:r>
        <w:rPr>
          <w:rFonts w:hint="eastAsia" w:ascii="仿宋" w:hAnsi="仿宋" w:eastAsia="仿宋" w:cs="仿宋"/>
          <w:color w:val="000000"/>
          <w:sz w:val="18"/>
          <w:szCs w:val="18"/>
          <w:highlight w:val="none"/>
          <w:lang w:eastAsia="zh-CN"/>
        </w:rPr>
        <w:t>等</w:t>
      </w:r>
      <w:r>
        <w:rPr>
          <w:rFonts w:hint="eastAsia" w:ascii="仿宋" w:hAnsi="仿宋" w:eastAsia="仿宋" w:cs="仿宋"/>
          <w:b w:val="0"/>
          <w:bCs w:val="0"/>
          <w:color w:val="000000"/>
          <w:sz w:val="18"/>
          <w:szCs w:val="18"/>
          <w:highlight w:val="none"/>
          <w:lang w:val="en-US" w:eastAsia="zh-CN"/>
        </w:rPr>
        <w:t>法律法规冲突，以法律法规为准。</w:t>
      </w:r>
    </w:p>
    <w:p>
      <w:pPr>
        <w:spacing w:before="0" w:beforeLines="0"/>
        <w:jc w:val="left"/>
        <w:rPr>
          <w:rFonts w:hint="eastAsia" w:ascii="仿宋" w:hAnsi="仿宋" w:eastAsia="仿宋" w:cs="仿宋"/>
          <w:b w:val="0"/>
          <w:bCs w:val="0"/>
          <w:color w:val="FF0000"/>
          <w:sz w:val="18"/>
          <w:szCs w:val="18"/>
          <w:highlight w:val="yellow"/>
          <w:lang w:val="en-US" w:eastAsia="zh-CN"/>
        </w:rPr>
      </w:pPr>
    </w:p>
    <w:p>
      <w:pPr>
        <w:spacing w:line="360" w:lineRule="auto"/>
        <w:rPr>
          <w:rFonts w:hint="eastAsia" w:ascii="仿宋" w:hAnsi="仿宋" w:eastAsia="仿宋" w:cs="仿宋"/>
          <w:szCs w:val="21"/>
          <w:lang w:val="en-US" w:eastAsia="zh-CN"/>
        </w:rPr>
      </w:pPr>
    </w:p>
    <w:p>
      <w:pPr>
        <w:spacing w:line="360" w:lineRule="auto"/>
        <w:rPr>
          <w:rFonts w:hint="eastAsia" w:ascii="仿宋" w:hAnsi="仿宋" w:eastAsia="仿宋" w:cs="仿宋"/>
          <w:szCs w:val="21"/>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3EB9"/>
    <w:multiLevelType w:val="singleLevel"/>
    <w:tmpl w:val="1AE13EB9"/>
    <w:lvl w:ilvl="0" w:tentative="0">
      <w:start w:val="1"/>
      <w:numFmt w:val="decimal"/>
      <w:suff w:val="nothing"/>
      <w:lvlText w:val="%1、"/>
      <w:lvlJc w:val="left"/>
    </w:lvl>
  </w:abstractNum>
  <w:abstractNum w:abstractNumId="1">
    <w:nsid w:val="57D54CAB"/>
    <w:multiLevelType w:val="singleLevel"/>
    <w:tmpl w:val="57D54CAB"/>
    <w:lvl w:ilvl="0" w:tentative="0">
      <w:start w:val="2"/>
      <w:numFmt w:val="chineseCounting"/>
      <w:suff w:val="space"/>
      <w:lvlText w:val="第%1条"/>
      <w:lvlJc w:val="left"/>
      <w:pPr>
        <w:tabs>
          <w:tab w:val="left" w:pos="0"/>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3D60FB"/>
    <w:rsid w:val="038C03E3"/>
    <w:rsid w:val="039E0E85"/>
    <w:rsid w:val="05C37DFC"/>
    <w:rsid w:val="05D04852"/>
    <w:rsid w:val="0EBD29FC"/>
    <w:rsid w:val="134168C3"/>
    <w:rsid w:val="17A47BC0"/>
    <w:rsid w:val="1A4607FD"/>
    <w:rsid w:val="1C761B1E"/>
    <w:rsid w:val="1CC77AA2"/>
    <w:rsid w:val="1FB04DE4"/>
    <w:rsid w:val="1FFE184E"/>
    <w:rsid w:val="255969F3"/>
    <w:rsid w:val="28CA0212"/>
    <w:rsid w:val="2E400A88"/>
    <w:rsid w:val="42594BB9"/>
    <w:rsid w:val="45A86AE6"/>
    <w:rsid w:val="48B96DB8"/>
    <w:rsid w:val="536751BB"/>
    <w:rsid w:val="54F37E8C"/>
    <w:rsid w:val="6CA265BF"/>
    <w:rsid w:val="6D535020"/>
    <w:rsid w:val="72475E4E"/>
    <w:rsid w:val="737258B4"/>
    <w:rsid w:val="76BD17FA"/>
    <w:rsid w:val="78C32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2018-04-04T01:17:00Z</dcterms:created>
  <dc:creator>Ivan</dc:creator>
  <cp:lastModifiedBy>宛臻妈妈</cp:lastModifiedBy>
  <cp:lastPrinted>2018-06-11T07:15:00Z</cp:lastPrinted>
  <dcterms:modified xsi:type="dcterms:W3CDTF">2019-10-30T08:30:37Z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